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84"/>
        <w:jc w:val="center"/>
        <w:rPr>
          <w:rFonts w:ascii="方正小标宋简体" w:hAnsi="方正小标宋简体" w:eastAsia="方正小标宋简体" w:cs="方正小标宋简体"/>
          <w:bCs/>
          <w:color w:val="C00000"/>
          <w:sz w:val="84"/>
          <w:szCs w:val="84"/>
        </w:rPr>
      </w:pPr>
      <w:r>
        <w:rPr>
          <w:rFonts w:hint="eastAsia" w:ascii="方正小标宋简体" w:hAnsi="方正小标宋简体" w:eastAsia="方正小标宋简体" w:cs="方正小标宋简体"/>
          <w:bCs/>
          <w:color w:val="FF0000"/>
          <w:w w:val="78"/>
          <w:kern w:val="0"/>
          <w:sz w:val="84"/>
          <w:szCs w:val="84"/>
        </w:rPr>
        <w:t>西安理工大学高科学院文</w:t>
      </w:r>
      <w:r>
        <w:rPr>
          <w:rFonts w:hint="eastAsia" w:ascii="方正小标宋简体" w:hAnsi="方正小标宋简体" w:eastAsia="方正小标宋简体" w:cs="方正小标宋简体"/>
          <w:bCs/>
          <w:color w:val="FF0000"/>
          <w:spacing w:val="17"/>
          <w:w w:val="78"/>
          <w:kern w:val="0"/>
          <w:sz w:val="84"/>
          <w:szCs w:val="84"/>
        </w:rPr>
        <w:t>件</w:t>
      </w:r>
    </w:p>
    <w:p>
      <w:pPr>
        <w:spacing w:before="578" w:beforeLines="200" w:after="227" w:line="560" w:lineRule="exact"/>
        <w:jc w:val="center"/>
        <w:rPr>
          <w:rFonts w:ascii="仿宋_GB2312" w:eastAsia="仿宋_GB2312"/>
          <w:b/>
          <w:sz w:val="32"/>
          <w:szCs w:val="32"/>
        </w:rPr>
      </w:pPr>
      <w:r>
        <w:rPr>
          <w:rFonts w:hint="eastAsia" w:ascii="仿宋_GB2312" w:eastAsia="仿宋_GB2312"/>
          <w:sz w:val="32"/>
          <w:szCs w:val="32"/>
        </w:rPr>
        <w:t>西理高院〔</w:t>
      </w:r>
      <w:r>
        <w:rPr>
          <w:rFonts w:hint="eastAsia" w:ascii="仿宋_GB2312" w:hAnsi="Times New Roman" w:eastAsia="仿宋_GB2312" w:cs="Times New Roman"/>
          <w:spacing w:val="-2"/>
          <w:sz w:val="32"/>
          <w:szCs w:val="32"/>
        </w:rPr>
        <w:t>2017〕</w:t>
      </w:r>
      <w:r>
        <w:rPr>
          <w:rFonts w:ascii="仿宋_GB2312" w:hAnsi="Times New Roman" w:eastAsia="仿宋_GB2312" w:cs="Times New Roman"/>
          <w:spacing w:val="-2"/>
          <w:sz w:val="32"/>
          <w:szCs w:val="32"/>
        </w:rPr>
        <w:t>76</w:t>
      </w:r>
      <w:r>
        <w:rPr>
          <w:rFonts w:hint="eastAsia" w:ascii="仿宋_GB2312" w:eastAsia="仿宋_GB2312"/>
          <w:sz w:val="32"/>
          <w:szCs w:val="32"/>
        </w:rPr>
        <w:t>号</w:t>
      </w:r>
    </w:p>
    <w:p>
      <w:pPr>
        <w:spacing w:line="560" w:lineRule="exact"/>
        <w:jc w:val="center"/>
        <w:rPr>
          <w:b/>
          <w:sz w:val="10"/>
          <w:szCs w:val="10"/>
        </w:rPr>
      </w:pPr>
      <w:r>
        <w:rPr>
          <w:b/>
          <w:sz w:val="10"/>
          <w:szCs w:val="1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1905</wp:posOffset>
                </wp:positionV>
                <wp:extent cx="5615940" cy="635"/>
                <wp:effectExtent l="17145" t="14605" r="15240" b="1333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9050">
                          <a:solidFill>
                            <a:srgbClr val="FF0000"/>
                          </a:solidFill>
                          <a:round/>
                        </a:ln>
                      </wps:spPr>
                      <wps:bodyPr/>
                    </wps:wsp>
                  </a:graphicData>
                </a:graphic>
              </wp:anchor>
            </w:drawing>
          </mc:Choice>
          <mc:Fallback>
            <w:pict>
              <v:line id="Line 2" o:spid="_x0000_s1026" o:spt="20" style="position:absolute;left:0pt;margin-top:0.15pt;height:0.05pt;width:442.2pt;mso-position-horizontal:center;z-index:251659264;mso-width-relative:page;mso-height-relative:page;" filled="f" stroked="t" coordsize="21600,21600" o:gfxdata="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Co+bTAAAAAgEAAA8AAAAAAAAAAQAgAAAAIgAAAGRycy9k&#10;b3ducmV2LnhtbFBLAQIUABQAAAAIAIdO4kCObqQDzgEAAKIDAAAOAAAAAAAAAAEAIAAAACIBAABk&#10;cnMvZTJvRG9jLnhtbFBLBQYAAAAABgAGAFkBAABiBQAAAAA=&#10;">
                <v:fill on="f" focussize="0,0"/>
                <v:stroke weight="1.5pt" color="#FF0000" joinstyle="round"/>
                <v:imagedata o:title=""/>
                <o:lock v:ext="edit" aspectratio="f"/>
              </v:line>
            </w:pict>
          </mc:Fallback>
        </mc:AlternateContent>
      </w:r>
    </w:p>
    <w:p>
      <w:pPr>
        <w:jc w:val="center"/>
        <w:rPr>
          <w:rFonts w:hint="eastAsia" w:ascii="方正小标宋简体" w:eastAsia="方正小标宋简体" w:hAnsiTheme="minorEastAsia"/>
          <w:sz w:val="36"/>
          <w:szCs w:val="36"/>
        </w:rPr>
      </w:pPr>
      <w:bookmarkStart w:id="0" w:name="_GoBack"/>
      <w:r>
        <w:rPr>
          <w:rFonts w:hint="eastAsia" w:ascii="方正小标宋简体" w:eastAsia="方正小标宋简体" w:hAnsiTheme="minorEastAsia"/>
          <w:bCs/>
          <w:color w:val="333333"/>
          <w:sz w:val="36"/>
          <w:szCs w:val="36"/>
        </w:rPr>
        <w:t>西安理工大学高科学院2017年信息公开年度工作报告</w:t>
      </w:r>
    </w:p>
    <w:bookmarkEnd w:id="0"/>
    <w:p>
      <w:pPr>
        <w:ind w:firstLine="606" w:firstLineChars="200"/>
        <w:rPr>
          <w:rFonts w:hint="eastAsia" w:ascii="仿宋_GB2312" w:eastAsia="仿宋_GB2312"/>
          <w:sz w:val="32"/>
          <w:szCs w:val="32"/>
        </w:rPr>
      </w:pPr>
      <w:r>
        <w:rPr>
          <w:rFonts w:hint="eastAsia" w:ascii="仿宋_GB2312" w:eastAsia="仿宋_GB2312"/>
          <w:sz w:val="32"/>
          <w:szCs w:val="32"/>
        </w:rPr>
        <w:t>按照《教育部办公厅关于深入落实高校信息公开清单做好高校信息公开年度报告工作的通知》（教办厅函〔2017〕41号）要求，我校对上一年度（2016年9月1日至2017年8月31日）信息公开工作情况进行了总结，并在此基础上，结合学校信息公开工作开展的实际情况，编制了本年度报告。全文共包括信息公开工作概述，主动公开情况，重点领域信息公开情况，依申请公开和不予公开情况，对信息公开的评议情况，因学校信息公开工作遭到举报的情况，信息公开工作主要经验、存在的问题和改进措施等七部分内容。</w:t>
      </w:r>
    </w:p>
    <w:p>
      <w:pPr>
        <w:ind w:firstLine="606" w:firstLineChars="200"/>
        <w:rPr>
          <w:rFonts w:hint="eastAsia" w:ascii="黑体" w:hAnsi="黑体" w:eastAsia="黑体"/>
          <w:sz w:val="32"/>
          <w:szCs w:val="32"/>
        </w:rPr>
      </w:pPr>
      <w:r>
        <w:rPr>
          <w:rFonts w:hint="eastAsia" w:ascii="黑体" w:hAnsi="黑体" w:eastAsia="黑体" w:cs="宋体"/>
          <w:color w:val="000000"/>
          <w:kern w:val="0"/>
          <w:sz w:val="32"/>
          <w:szCs w:val="32"/>
        </w:rPr>
        <w:t>一、信息公开工作概述</w:t>
      </w:r>
    </w:p>
    <w:p>
      <w:pPr>
        <w:ind w:firstLine="606" w:firstLineChars="200"/>
        <w:rPr>
          <w:rFonts w:hint="eastAsia" w:ascii="仿宋_GB2312" w:eastAsia="仿宋_GB2312"/>
          <w:sz w:val="32"/>
          <w:szCs w:val="32"/>
        </w:rPr>
      </w:pPr>
      <w:r>
        <w:rPr>
          <w:rFonts w:hint="eastAsia" w:ascii="仿宋_GB2312" w:eastAsia="仿宋_GB2312"/>
          <w:sz w:val="32"/>
          <w:szCs w:val="32"/>
        </w:rPr>
        <w:t>2017年，学校奋力推进改革发展，全面提升办学质量水平，加快西咸新校区建设步伐。学校党政一贯高度重视信息公开工作，切实执行《高等学校信息公开办法》、《西安理工大学高科学院信息公开实施办法》，深刻领悟党中央、国务院以及省委、省政府关于政务公开工作的决策部署，遵循“以公开为常态，不公开为例外”的原则，以加强和改进信息公开工作为契机，完善内部治理、完善工作机制，紧紧围绕新形势下信息公开工作在服务师生、接受监督、树立学校公信力方面的重要作用，把信息公开工作作为学校依法治校、民主办学的重要途径。</w:t>
      </w:r>
    </w:p>
    <w:p>
      <w:pPr>
        <w:ind w:firstLine="606" w:firstLineChars="200"/>
        <w:rPr>
          <w:rFonts w:hint="eastAsia" w:ascii="仿宋_GB2312" w:eastAsia="仿宋_GB2312"/>
          <w:sz w:val="32"/>
          <w:szCs w:val="32"/>
        </w:rPr>
      </w:pPr>
      <w:r>
        <w:rPr>
          <w:rFonts w:hint="eastAsia" w:ascii="仿宋_GB2312" w:eastAsia="仿宋_GB2312"/>
          <w:sz w:val="32"/>
          <w:szCs w:val="32"/>
        </w:rPr>
        <w:t>本学年度，学校除了认真落实“清单”所要求的主动公开事项之外，还通过多种形式主动公开办学治校过程中的重要信息。</w:t>
      </w:r>
    </w:p>
    <w:p>
      <w:pPr>
        <w:ind w:firstLine="606" w:firstLineChars="200"/>
        <w:rPr>
          <w:rFonts w:hint="eastAsia" w:ascii="仿宋_GB2312" w:eastAsia="仿宋_GB2312"/>
          <w:sz w:val="32"/>
          <w:szCs w:val="32"/>
        </w:rPr>
      </w:pPr>
      <w:r>
        <w:rPr>
          <w:rFonts w:hint="eastAsia" w:ascii="仿宋_GB2312" w:eastAsia="仿宋_GB2312"/>
          <w:sz w:val="32"/>
          <w:szCs w:val="32"/>
        </w:rPr>
        <w:t>一是加强规章制度制定过程公开。例如在修改学校学籍管理规定、学生管理办法等制度时向全校师生公开征求意见。</w:t>
      </w:r>
    </w:p>
    <w:p>
      <w:pPr>
        <w:ind w:firstLine="606" w:firstLineChars="200"/>
        <w:rPr>
          <w:rFonts w:hint="eastAsia" w:ascii="仿宋_GB2312" w:eastAsia="仿宋_GB2312"/>
          <w:sz w:val="32"/>
          <w:szCs w:val="32"/>
        </w:rPr>
      </w:pPr>
      <w:r>
        <w:rPr>
          <w:rFonts w:hint="eastAsia" w:ascii="仿宋_GB2312" w:eastAsia="仿宋_GB2312"/>
          <w:sz w:val="32"/>
          <w:szCs w:val="32"/>
        </w:rPr>
        <w:t>二是加强重点工作进展公开。例如学校官网专题报道，公开“两学一做”“第一次党代会”“迎接新生”等重点工作进展情况。利用学院LED大屏循环播放西咸新校区建设进展情况等。</w:t>
      </w:r>
    </w:p>
    <w:p>
      <w:pPr>
        <w:ind w:firstLine="606" w:firstLineChars="200"/>
        <w:rPr>
          <w:rFonts w:hint="eastAsia" w:ascii="仿宋_GB2312" w:eastAsia="仿宋_GB2312"/>
          <w:sz w:val="32"/>
          <w:szCs w:val="32"/>
        </w:rPr>
      </w:pPr>
      <w:r>
        <w:rPr>
          <w:rFonts w:hint="eastAsia" w:ascii="仿宋_GB2312" w:eastAsia="仿宋_GB2312"/>
          <w:sz w:val="32"/>
          <w:szCs w:val="32"/>
        </w:rPr>
        <w:t>三是加强师生参与民主管理公开。例如学校设置了院长信箱，设立信息公开墙，公布各主要处室比如学生处、后勤处、维稳办、教务处、资助中心等各处室领导信箱和电话，学生处开设了“高科学生工作”、团委开设了“青春高科”等微信公众号，及时发布重大信息，针对学生留言及时分类汇总主动反馈。</w:t>
      </w:r>
    </w:p>
    <w:p>
      <w:pPr>
        <w:ind w:firstLine="606"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二、主动公开信息情况</w:t>
      </w:r>
      <w:r>
        <w:rPr>
          <w:rFonts w:hint="eastAsia" w:ascii="黑体" w:hAnsi="黑体" w:eastAsia="黑体" w:cs="宋体"/>
          <w:color w:val="000000"/>
          <w:kern w:val="0"/>
          <w:sz w:val="32"/>
          <w:szCs w:val="32"/>
        </w:rPr>
        <w:tab/>
      </w:r>
    </w:p>
    <w:p>
      <w:pPr>
        <w:ind w:firstLine="606" w:firstLineChars="200"/>
        <w:rPr>
          <w:rFonts w:hint="eastAsia" w:ascii="仿宋_GB2312" w:eastAsia="仿宋_GB2312"/>
          <w:sz w:val="32"/>
          <w:szCs w:val="32"/>
        </w:rPr>
      </w:pPr>
      <w:r>
        <w:rPr>
          <w:rFonts w:hint="eastAsia" w:ascii="仿宋_GB2312" w:eastAsia="仿宋_GB2312"/>
          <w:sz w:val="32"/>
          <w:szCs w:val="32"/>
        </w:rPr>
        <w:t>我校以《西安理工大学高科学院信息公开实施办法》为指导，以《西安理工大学高科学院信息公开目录》和《高等学校信息公开事项清单》为基础，通过各种信息公开载体主动公开学校信息。</w:t>
      </w:r>
    </w:p>
    <w:p>
      <w:pPr>
        <w:ind w:firstLine="606" w:firstLineChars="200"/>
        <w:rPr>
          <w:rFonts w:hint="eastAsia" w:ascii="仿宋_GB2312" w:eastAsia="仿宋_GB2312"/>
          <w:sz w:val="32"/>
          <w:szCs w:val="32"/>
        </w:rPr>
      </w:pPr>
      <w:r>
        <w:rPr>
          <w:rFonts w:hint="eastAsia" w:ascii="仿宋_GB2312" w:eastAsia="仿宋_GB2312"/>
          <w:sz w:val="32"/>
          <w:szCs w:val="32"/>
        </w:rPr>
        <w:t>本年度，我校主动公开信息共79项，涉及学校基本信息、新校区建设招投标信息、招生录取信息、各类收费信息、人事师资信息、教学质量信息、学生管理服务信息、奖助学金评审信息、学风建设信息、学生毕业及学位授予信息、党务工作等各方面的内容。我校主动公开信息的形式和载体多样，学校利用官方网站、校区宣传栏、教学楼LED大屏、各楼层展板等方式进行了各类信息的公开公布。此外，学院不定期编印的《督查通报》进行各类督查信息公开。利用新媒体平台微信公证号发布信息56条，新闻网发布新闻67条，校报刊登新闻35条。</w:t>
      </w:r>
    </w:p>
    <w:p>
      <w:pPr>
        <w:rPr>
          <w:rFonts w:hint="eastAsia"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 根据清单要求，我校将在信息公开网站主页设专栏公开清单内容，并逐条建立单点链接，方便社会大众查看。</w:t>
      </w:r>
    </w:p>
    <w:p>
      <w:pPr>
        <w:widowControl/>
        <w:spacing w:line="568" w:lineRule="atLeast"/>
        <w:ind w:left="75" w:right="75"/>
        <w:jc w:val="left"/>
        <w:rPr>
          <w:rFonts w:ascii="黑体" w:hAnsi="黑体" w:eastAsia="黑体" w:cs="宋体"/>
          <w:color w:val="333333"/>
          <w:kern w:val="0"/>
          <w:sz w:val="32"/>
          <w:szCs w:val="32"/>
        </w:rPr>
      </w:pPr>
      <w:r>
        <w:rPr>
          <w:rFonts w:hint="eastAsia" w:eastAsia="仿宋_GB2312" w:cs="宋体" w:asciiTheme="minorEastAsia" w:hAnsiTheme="minorEastAsia"/>
          <w:color w:val="000000"/>
          <w:kern w:val="0"/>
          <w:sz w:val="28"/>
          <w:szCs w:val="28"/>
        </w:rPr>
        <w:t>  </w:t>
      </w:r>
      <w:r>
        <w:rPr>
          <w:rFonts w:hint="eastAsia" w:ascii="黑体" w:hAnsi="黑体" w:eastAsia="黑体" w:cs="宋体"/>
          <w:color w:val="000000"/>
          <w:kern w:val="0"/>
          <w:sz w:val="32"/>
          <w:szCs w:val="32"/>
        </w:rPr>
        <w:t>三、重点领域信息公开情况</w:t>
      </w:r>
    </w:p>
    <w:p>
      <w:pPr>
        <w:widowControl/>
        <w:spacing w:line="568" w:lineRule="atLeast"/>
        <w:ind w:left="75" w:right="75" w:firstLine="606" w:firstLineChars="200"/>
        <w:jc w:val="left"/>
        <w:rPr>
          <w:rFonts w:ascii="仿宋_GB2312" w:eastAsia="仿宋_GB2312"/>
          <w:sz w:val="32"/>
          <w:szCs w:val="32"/>
        </w:rPr>
      </w:pPr>
      <w:r>
        <w:rPr>
          <w:rFonts w:hint="eastAsia" w:ascii="仿宋_GB2312" w:eastAsia="仿宋_GB2312"/>
          <w:sz w:val="32"/>
          <w:szCs w:val="32"/>
        </w:rPr>
        <w:t>我校深入推进招生、就业、财务等领域信息公开工作，主动接受外部监督，努力做好重点领域信息公开工作。</w:t>
      </w:r>
    </w:p>
    <w:p>
      <w:pPr>
        <w:widowControl/>
        <w:spacing w:line="568" w:lineRule="atLeast"/>
        <w:ind w:left="75" w:right="75" w:firstLine="606" w:firstLineChars="200"/>
        <w:jc w:val="left"/>
        <w:rPr>
          <w:rFonts w:ascii="仿宋_GB2312" w:eastAsia="仿宋_GB2312"/>
          <w:sz w:val="32"/>
          <w:szCs w:val="32"/>
        </w:rPr>
      </w:pPr>
      <w:r>
        <w:rPr>
          <w:rFonts w:hint="eastAsia" w:ascii="仿宋_GB2312" w:eastAsia="仿宋_GB2312"/>
          <w:sz w:val="32"/>
          <w:szCs w:val="32"/>
        </w:rPr>
        <w:t>招生工作方面，学校全面贯彻落实教育部招生“阳光工程”相关规定， 严格执行教育部的高校招生信息“十公开”政策，加大信息公开力度，维护招生的公开、公平、公正，确保广大考生的切身利益，重点做好如下几方面信息公开：第一，招生章程公开；第二，招生计划及招生办法公开；第三，录取信息公开；第四，招生咨询及考生申诉渠道公开；第五，重大违规事件及处理结果公开。</w:t>
      </w:r>
    </w:p>
    <w:p>
      <w:pPr>
        <w:widowControl/>
        <w:spacing w:line="568" w:lineRule="atLeast"/>
        <w:ind w:left="75" w:right="75" w:firstLine="606" w:firstLineChars="200"/>
        <w:jc w:val="left"/>
        <w:rPr>
          <w:rFonts w:ascii="仿宋_GB2312" w:eastAsia="仿宋_GB2312"/>
          <w:sz w:val="32"/>
          <w:szCs w:val="32"/>
        </w:rPr>
      </w:pPr>
      <w:r>
        <w:rPr>
          <w:rFonts w:hint="eastAsia" w:ascii="仿宋_GB2312" w:eastAsia="仿宋_GB2312"/>
          <w:sz w:val="32"/>
          <w:szCs w:val="32"/>
        </w:rPr>
        <w:t>就业工作方面，重视开拓就业市场，丰富就业渠道，注重就业信息的收集、发布与更新，确保就业信息针对性、及时性与覆盖度。重点公开如下几方面信息：第一，就业信息公开。就业中心打造“网站+微信”的立体式信息服务，借助微信平台、就业专栏、班级QQ群等平台发布就业信息，实现毕业生的及时无缝对接。第二，就业工作动态公开。在以上平台及时发布就业工作信息，在学校“就业专栏”设立了“毕业生就业须知”，包括毕业手续、档案户口转移、档案存放管理、落户须知等。第三，积极开展就业创业政策宣讲、咨询活动。通过发放宣传折页、张贴海报、路演等方式，引导在校生做好就业创业准备，参与就业指导、创业活动，了解国家和各地就业创业促进政策，开展创业培训班等。第四，就业信息反馈公开。本年度，学校编写和发布《西安理工大学高科学院2017届毕业生就业质量报告》，为就业、招生和培养提供更准确的信息反馈。</w:t>
      </w:r>
    </w:p>
    <w:p>
      <w:pPr>
        <w:widowControl/>
        <w:spacing w:line="568" w:lineRule="atLeast"/>
        <w:ind w:left="75" w:right="75" w:firstLine="606" w:firstLineChars="200"/>
        <w:jc w:val="left"/>
        <w:rPr>
          <w:rFonts w:ascii="仿宋_GB2312" w:eastAsia="仿宋_GB2312"/>
          <w:sz w:val="32"/>
          <w:szCs w:val="32"/>
        </w:rPr>
      </w:pPr>
      <w:r>
        <w:rPr>
          <w:rFonts w:hint="eastAsia" w:ascii="仿宋_GB2312" w:eastAsia="仿宋_GB2312"/>
          <w:sz w:val="32"/>
          <w:szCs w:val="32"/>
        </w:rPr>
        <w:t>财务信息方面，学校财务认真贯彻执行国家和省厅规定，积极推进财务信息公开，将财务信息公开工作作为加强财务管理和提升服务水平的有力举措。</w:t>
      </w:r>
    </w:p>
    <w:p>
      <w:pPr>
        <w:widowControl/>
        <w:spacing w:line="568" w:lineRule="atLeast"/>
        <w:ind w:left="75" w:right="75" w:firstLine="606" w:firstLineChars="200"/>
        <w:jc w:val="left"/>
        <w:rPr>
          <w:rFonts w:ascii="仿宋_GB2312" w:eastAsia="仿宋_GB2312"/>
          <w:sz w:val="32"/>
          <w:szCs w:val="32"/>
        </w:rPr>
      </w:pPr>
      <w:r>
        <w:rPr>
          <w:rFonts w:hint="eastAsia" w:ascii="仿宋_GB2312" w:eastAsia="仿宋_GB2312"/>
          <w:sz w:val="32"/>
          <w:szCs w:val="32"/>
        </w:rPr>
        <w:t>学校财务主动公开了包括收费的项目、依据、标准与投诉方式等，并制作了收费项目及标准公示牌放置收费窗口及新生报到处，接受广大师生员工和社会各界的监督。</w:t>
      </w:r>
    </w:p>
    <w:p>
      <w:pPr>
        <w:widowControl/>
        <w:spacing w:line="568" w:lineRule="atLeast"/>
        <w:ind w:left="69" w:leftChars="36" w:right="75" w:firstLine="606" w:firstLineChars="200"/>
        <w:jc w:val="left"/>
        <w:rPr>
          <w:rFonts w:ascii="仿宋_GB2312" w:eastAsia="仿宋_GB2312"/>
          <w:sz w:val="32"/>
          <w:szCs w:val="32"/>
        </w:rPr>
      </w:pPr>
      <w:r>
        <w:rPr>
          <w:rFonts w:hint="eastAsia" w:ascii="仿宋_GB2312" w:eastAsia="仿宋_GB2312"/>
          <w:sz w:val="32"/>
          <w:szCs w:val="32"/>
        </w:rPr>
        <w:t>学校财务充分发挥网络平台作用，公开财务报销审批手续、暂付款制度、收费项目和标准、学生奖助学金发放及教职工个人所得税征缴等。</w:t>
      </w:r>
    </w:p>
    <w:p>
      <w:pPr>
        <w:widowControl/>
        <w:spacing w:line="568" w:lineRule="atLeast"/>
        <w:ind w:left="75" w:right="75"/>
        <w:jc w:val="left"/>
        <w:rPr>
          <w:rFonts w:ascii="黑体" w:hAnsi="黑体" w:eastAsia="黑体" w:cs="宋体"/>
          <w:color w:val="333333"/>
          <w:kern w:val="0"/>
          <w:sz w:val="32"/>
          <w:szCs w:val="32"/>
        </w:rPr>
      </w:pPr>
      <w:r>
        <w:rPr>
          <w:rFonts w:hint="eastAsia" w:eastAsia="仿宋_GB2312" w:cs="宋体" w:asciiTheme="minorEastAsia" w:hAnsiTheme="minorEastAsia"/>
          <w:color w:val="000000"/>
          <w:kern w:val="0"/>
          <w:sz w:val="28"/>
          <w:szCs w:val="28"/>
        </w:rPr>
        <w:t>  </w:t>
      </w:r>
      <w:r>
        <w:rPr>
          <w:rFonts w:eastAsia="仿宋_GB2312" w:cs="宋体" w:asciiTheme="minorEastAsia" w:hAnsiTheme="minorEastAsia"/>
          <w:color w:val="000000"/>
          <w:kern w:val="0"/>
          <w:sz w:val="28"/>
          <w:szCs w:val="28"/>
        </w:rPr>
        <w:t xml:space="preserve"> </w:t>
      </w:r>
      <w:r>
        <w:rPr>
          <w:rFonts w:hint="eastAsia" w:ascii="黑体" w:hAnsi="黑体" w:eastAsia="黑体" w:cs="宋体"/>
          <w:color w:val="000000"/>
          <w:kern w:val="0"/>
          <w:sz w:val="32"/>
          <w:szCs w:val="32"/>
        </w:rPr>
        <w:t>四、依申请公开和不予公开情况</w:t>
      </w:r>
    </w:p>
    <w:p>
      <w:pPr>
        <w:widowControl/>
        <w:spacing w:line="568" w:lineRule="atLeast"/>
        <w:ind w:left="75" w:right="75" w:firstLine="606" w:firstLineChars="200"/>
        <w:jc w:val="left"/>
        <w:rPr>
          <w:rFonts w:ascii="黑体" w:hAnsi="黑体" w:eastAsia="黑体" w:cs="宋体"/>
          <w:color w:val="333333"/>
          <w:kern w:val="0"/>
          <w:sz w:val="32"/>
          <w:szCs w:val="32"/>
        </w:rPr>
      </w:pPr>
      <w:r>
        <w:rPr>
          <w:rFonts w:hint="eastAsia" w:ascii="仿宋_GB2312" w:eastAsia="仿宋_GB2312"/>
          <w:sz w:val="32"/>
          <w:szCs w:val="32"/>
        </w:rPr>
        <w:t>本年度，收到依申请公开的信件0封。全年共接受并回复网上信箱（书记、校长信箱）来信11件，主要涉及教务、招生就业、办学环境、后勤服务、奖助学金等方面内容，并做了一一回复。</w:t>
      </w:r>
    </w:p>
    <w:p>
      <w:pPr>
        <w:widowControl/>
        <w:spacing w:line="568" w:lineRule="atLeast"/>
        <w:ind w:left="75" w:right="75" w:firstLine="606" w:firstLineChars="200"/>
        <w:jc w:val="left"/>
        <w:rPr>
          <w:rFonts w:ascii="黑体" w:hAnsi="黑体" w:eastAsia="黑体" w:cs="宋体"/>
          <w:color w:val="333333"/>
          <w:kern w:val="0"/>
          <w:sz w:val="32"/>
          <w:szCs w:val="32"/>
        </w:rPr>
      </w:pPr>
      <w:r>
        <w:rPr>
          <w:rFonts w:hint="eastAsia" w:ascii="黑体" w:hAnsi="黑体" w:eastAsia="黑体" w:cs="宋体"/>
          <w:color w:val="000000"/>
          <w:kern w:val="0"/>
          <w:sz w:val="32"/>
          <w:szCs w:val="32"/>
        </w:rPr>
        <w:t>五、对信息公开的评议情况</w:t>
      </w:r>
    </w:p>
    <w:p>
      <w:pPr>
        <w:widowControl/>
        <w:spacing w:line="568" w:lineRule="atLeast"/>
        <w:ind w:left="75" w:right="75"/>
        <w:jc w:val="left"/>
        <w:rPr>
          <w:rFonts w:ascii="仿宋_GB2312" w:eastAsia="仿宋_GB2312"/>
          <w:sz w:val="32"/>
          <w:szCs w:val="32"/>
        </w:rPr>
      </w:pPr>
      <w:r>
        <w:rPr>
          <w:rFonts w:hint="eastAsia" w:eastAsia="仿宋_GB2312" w:cs="宋体" w:asciiTheme="minorEastAsia" w:hAnsiTheme="minorEastAsia"/>
          <w:color w:val="000000"/>
          <w:kern w:val="0"/>
          <w:sz w:val="28"/>
          <w:szCs w:val="28"/>
        </w:rPr>
        <w:t>  </w:t>
      </w:r>
      <w:r>
        <w:rPr>
          <w:rFonts w:hint="eastAsia" w:ascii="仿宋_GB2312" w:eastAsia="仿宋_GB2312"/>
          <w:sz w:val="32"/>
          <w:szCs w:val="32"/>
        </w:rPr>
        <w:t>学校高度重视信息公开工作，作为学校依法治校、民主办学的重要途径。学校要求各部门进行信息公开自查，对各部门自查情况与日常信息公开工作开展情况进行了全面总结。各部门工作意识显著增强，主动公开信息的范围进一步扩大，逐步实现信息公开工作的制度化、程序化和规范化。</w:t>
      </w:r>
    </w:p>
    <w:p>
      <w:pPr>
        <w:widowControl/>
        <w:spacing w:line="568" w:lineRule="atLeast"/>
        <w:ind w:left="75" w:right="75"/>
        <w:jc w:val="left"/>
        <w:rPr>
          <w:rFonts w:ascii="黑体" w:hAnsi="黑体" w:eastAsia="黑体" w:cs="宋体"/>
          <w:color w:val="333333"/>
          <w:kern w:val="0"/>
          <w:sz w:val="32"/>
          <w:szCs w:val="32"/>
        </w:rPr>
      </w:pPr>
      <w:r>
        <w:rPr>
          <w:rFonts w:hint="eastAsia" w:eastAsia="仿宋_GB2312" w:cs="宋体" w:asciiTheme="minorEastAsia" w:hAnsiTheme="minorEastAsia"/>
          <w:color w:val="000000"/>
          <w:kern w:val="0"/>
          <w:sz w:val="28"/>
          <w:szCs w:val="28"/>
        </w:rPr>
        <w:t>  </w:t>
      </w:r>
      <w:r>
        <w:rPr>
          <w:rFonts w:eastAsia="仿宋_GB2312" w:cs="宋体" w:asciiTheme="minorEastAsia" w:hAnsiTheme="minorEastAsia"/>
          <w:color w:val="000000"/>
          <w:kern w:val="0"/>
          <w:sz w:val="28"/>
          <w:szCs w:val="28"/>
        </w:rPr>
        <w:t xml:space="preserve"> </w:t>
      </w:r>
      <w:r>
        <w:rPr>
          <w:rFonts w:hint="eastAsia" w:ascii="黑体" w:hAnsi="黑体" w:eastAsia="黑体" w:cs="宋体"/>
          <w:color w:val="000000"/>
          <w:kern w:val="0"/>
          <w:sz w:val="32"/>
          <w:szCs w:val="32"/>
        </w:rPr>
        <w:t>六、因学校信息公开工作遭到举报的情况</w:t>
      </w:r>
    </w:p>
    <w:p>
      <w:pPr>
        <w:widowControl/>
        <w:spacing w:line="568" w:lineRule="atLeast"/>
        <w:ind w:left="75" w:right="75"/>
        <w:jc w:val="left"/>
        <w:rPr>
          <w:rFonts w:ascii="仿宋_GB2312" w:eastAsia="仿宋_GB2312"/>
          <w:sz w:val="32"/>
          <w:szCs w:val="32"/>
        </w:rPr>
      </w:pPr>
      <w:r>
        <w:rPr>
          <w:rFonts w:hint="eastAsia" w:eastAsia="仿宋_GB2312" w:cs="宋体" w:asciiTheme="minorEastAsia" w:hAnsiTheme="minorEastAsia"/>
          <w:color w:val="000000"/>
          <w:kern w:val="0"/>
          <w:sz w:val="28"/>
          <w:szCs w:val="28"/>
        </w:rPr>
        <w:t>  </w:t>
      </w:r>
      <w:r>
        <w:rPr>
          <w:rFonts w:hint="eastAsia" w:ascii="仿宋_GB2312" w:eastAsia="仿宋_GB2312"/>
          <w:sz w:val="32"/>
          <w:szCs w:val="32"/>
        </w:rPr>
        <w:t>我校全年无任何因信息公开遭到举报的情况。</w:t>
      </w:r>
    </w:p>
    <w:p>
      <w:pPr>
        <w:widowControl/>
        <w:spacing w:line="568" w:lineRule="atLeast"/>
        <w:ind w:left="75" w:right="75"/>
        <w:jc w:val="left"/>
        <w:rPr>
          <w:rFonts w:ascii="黑体" w:hAnsi="黑体" w:eastAsia="黑体" w:cs="宋体"/>
          <w:color w:val="000000"/>
          <w:kern w:val="0"/>
          <w:sz w:val="32"/>
          <w:szCs w:val="32"/>
        </w:rPr>
      </w:pPr>
      <w:r>
        <w:rPr>
          <w:rFonts w:hint="eastAsia" w:eastAsia="仿宋_GB2312" w:cs="宋体" w:asciiTheme="minorEastAsia" w:hAnsiTheme="minorEastAsia"/>
          <w:color w:val="000000"/>
          <w:kern w:val="0"/>
          <w:sz w:val="28"/>
          <w:szCs w:val="28"/>
        </w:rPr>
        <w:t>  </w:t>
      </w:r>
      <w:r>
        <w:rPr>
          <w:rFonts w:hint="eastAsia" w:ascii="黑体" w:hAnsi="黑体" w:eastAsia="黑体" w:cs="宋体"/>
          <w:color w:val="000000"/>
          <w:kern w:val="0"/>
          <w:sz w:val="32"/>
          <w:szCs w:val="32"/>
        </w:rPr>
        <w:t>七、信息公开工作存在的主要问题和改进措施</w:t>
      </w:r>
    </w:p>
    <w:p>
      <w:pPr>
        <w:widowControl/>
        <w:spacing w:line="568" w:lineRule="atLeast"/>
        <w:ind w:left="75" w:right="75" w:firstLine="606" w:firstLineChars="200"/>
        <w:jc w:val="left"/>
        <w:rPr>
          <w:rFonts w:hint="eastAsia" w:ascii="黑体" w:hAnsi="黑体" w:eastAsia="黑体" w:cs="宋体"/>
          <w:color w:val="000000"/>
          <w:kern w:val="0"/>
          <w:sz w:val="32"/>
          <w:szCs w:val="32"/>
        </w:rPr>
      </w:pPr>
      <w:r>
        <w:rPr>
          <w:rFonts w:hint="eastAsia" w:ascii="仿宋_GB2312" w:eastAsia="仿宋_GB2312"/>
          <w:sz w:val="32"/>
          <w:szCs w:val="32"/>
        </w:rPr>
        <w:t>我校之前没有收到过关于《高等学校信息公开办法》和《高等学校信息公开事项清单》要求，今年第一次收到文件，因此，我校将按照要求稳步推进信息公开工作，月底前做好网站信息公开专栏。下一步，结合信息化新校园建设，扩展新的信息公开载体与途径。学校成立专门机构，培养信息公开工作专业队伍，通过“请进来”与“走出去”，创造条件把信息公开建设方面高水平的专家学者请进学校为大家进行系统的培训，加强与兄弟院校沟通，学习、借鉴其好的信息公开建设和工作方法，让信息公开工作人员理论水平与实践能力得到迅速提升。在现有信息公开工作督查考评工作的基础上，探索与各单位年终考评有效结合的具体操作办法，进一步促进信息公开工作的制度化、规范化、科学化。</w:t>
      </w:r>
    </w:p>
    <w:p>
      <w:pPr>
        <w:ind w:firstLine="5757" w:firstLineChars="1900"/>
        <w:rPr>
          <w:rFonts w:ascii="仿宋_GB2312" w:eastAsia="仿宋_GB2312"/>
          <w:sz w:val="32"/>
          <w:szCs w:val="32"/>
        </w:rPr>
      </w:pPr>
    </w:p>
    <w:p>
      <w:pPr>
        <w:ind w:firstLine="5757" w:firstLineChars="1900"/>
        <w:rPr>
          <w:rFonts w:ascii="仿宋_GB2312" w:eastAsia="仿宋_GB2312"/>
          <w:sz w:val="32"/>
          <w:szCs w:val="32"/>
        </w:rPr>
      </w:pPr>
    </w:p>
    <w:p>
      <w:pPr>
        <w:ind w:firstLine="5757" w:firstLineChars="1900"/>
        <w:rPr>
          <w:rFonts w:ascii="仿宋_GB2312" w:hAnsi="Times New Roman" w:eastAsia="仿宋_GB2312"/>
          <w:sz w:val="32"/>
          <w:szCs w:val="32"/>
        </w:rPr>
      </w:pPr>
      <w:r>
        <w:rPr>
          <w:rFonts w:hint="eastAsia" w:ascii="仿宋_GB2312" w:eastAsia="仿宋_GB2312"/>
          <w:sz w:val="32"/>
          <w:szCs w:val="32"/>
        </w:rPr>
        <w:t>西安理工大学高科学院</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2017年1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600" w:lineRule="exact"/>
        <w:rPr>
          <w:rFonts w:ascii="仿宋_GB2312" w:hAnsi="Times New Roman" w:eastAsia="仿宋_GB2312"/>
          <w:spacing w:val="-2"/>
          <w:sz w:val="32"/>
          <w:szCs w:val="32"/>
        </w:rPr>
      </w:pPr>
      <w:r>
        <w:rPr>
          <w:rFonts w:hint="eastAsia" w:ascii="Times New Roman" w:hAnsi="Times New Roman" w:eastAsia="宋体"/>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426085</wp:posOffset>
                </wp:positionV>
                <wp:extent cx="58293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3.55pt;height:0pt;width:459pt;z-index:251661312;mso-width-relative:page;mso-height-relative:page;" filled="f" stroked="t" coordsize="21600,21600" o:gfxdata="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6ITxbSAAAABgEAAA8A&#10;AAAAAAAAAQAgAAAAIgAAAGRycy9kb3ducmV2LnhtbFBLAQIUABQAAAAIAIdO4kCGvRAv5AEAAKsD&#10;AAAOAAAAAAAAAAEAIAAAACEBAABkcnMvZTJvRG9jLnhtbFBLBQYAAAAABgAGAFkBAAB3BQAAAAA=&#10;">
                <v:fill on="f" focussize="0,0"/>
                <v:stroke weight="1.5pt" color="#000000" joinstyle="round"/>
                <v:imagedata o:title=""/>
                <o:lock v:ext="edit" aspectratio="f"/>
              </v:line>
            </w:pict>
          </mc:Fallback>
        </mc:AlternateContent>
      </w:r>
      <w:r>
        <w:rPr>
          <w:rFonts w:hint="eastAsia" w:ascii="Times New Roman" w:hAnsi="Times New Roman" w:eastAsia="宋体"/>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45085</wp:posOffset>
                </wp:positionV>
                <wp:extent cx="58293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55pt;height:0pt;width:459pt;z-index:251660288;mso-width-relative:page;mso-height-relative:page;" filled="f" stroked="t" coordsize="21600,21600" o:gfxdata="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1KBJdEAAAAEAQAADwAA&#10;AAAAAAABACAAAAAiAAAAZHJzL2Rvd25yZXYueG1sUEsBAhQAFAAAAAgAh07iQHuzyebkAQAAqwMA&#10;AA4AAAAAAAAAAQAgAAAAIAEAAGRycy9lMm9Eb2MueG1sUEsFBgAAAAAGAAYAWQEAAHYFAAAAAA==&#10;">
                <v:fill on="f" focussize="0,0"/>
                <v:stroke weight="1.5pt" color="#000000" joinstyle="round"/>
                <v:imagedata o:title=""/>
                <o:lock v:ext="edit" aspectratio="f"/>
              </v:line>
            </w:pict>
          </mc:Fallback>
        </mc:AlternateContent>
      </w:r>
      <w:r>
        <w:rPr>
          <w:rFonts w:hint="eastAsia" w:ascii="仿宋_GB2312" w:eastAsia="仿宋_GB2312"/>
          <w:spacing w:val="-2"/>
          <w:sz w:val="32"/>
          <w:szCs w:val="32"/>
        </w:rPr>
        <w:t xml:space="preserve">西安理工大学高科学院     </w:t>
      </w:r>
      <w:r>
        <w:rPr>
          <w:rFonts w:ascii="仿宋_GB2312" w:eastAsia="仿宋_GB2312"/>
          <w:spacing w:val="-2"/>
          <w:sz w:val="32"/>
          <w:szCs w:val="32"/>
        </w:rPr>
        <w:t xml:space="preserve">              </w:t>
      </w:r>
      <w:r>
        <w:rPr>
          <w:rFonts w:hint="eastAsia" w:ascii="仿宋_GB2312" w:eastAsia="仿宋_GB2312"/>
          <w:spacing w:val="-2"/>
          <w:sz w:val="32"/>
          <w:szCs w:val="32"/>
        </w:rPr>
        <w:t>2017年1</w:t>
      </w:r>
      <w:r>
        <w:rPr>
          <w:rFonts w:ascii="仿宋_GB2312" w:eastAsia="仿宋_GB2312"/>
          <w:spacing w:val="-2"/>
          <w:sz w:val="32"/>
          <w:szCs w:val="32"/>
        </w:rPr>
        <w:t>1</w:t>
      </w:r>
      <w:r>
        <w:rPr>
          <w:rFonts w:hint="eastAsia" w:ascii="仿宋_GB2312" w:eastAsia="仿宋_GB2312"/>
          <w:spacing w:val="-2"/>
          <w:sz w:val="32"/>
          <w:szCs w:val="32"/>
        </w:rPr>
        <w:t>月</w:t>
      </w:r>
      <w:r>
        <w:rPr>
          <w:rFonts w:ascii="仿宋_GB2312" w:eastAsia="仿宋_GB2312"/>
          <w:spacing w:val="-2"/>
          <w:sz w:val="32"/>
          <w:szCs w:val="32"/>
        </w:rPr>
        <w:t>16</w:t>
      </w:r>
      <w:r>
        <w:rPr>
          <w:rFonts w:hint="eastAsia" w:ascii="仿宋_GB2312" w:eastAsia="仿宋_GB2312"/>
          <w:spacing w:val="-2"/>
          <w:sz w:val="32"/>
          <w:szCs w:val="32"/>
        </w:rPr>
        <w:t>日印发</w:t>
      </w:r>
    </w:p>
    <w:p>
      <w:pPr>
        <w:jc w:val="left"/>
        <w:rPr>
          <w:rFonts w:ascii="仿宋_GB2312" w:eastAsia="仿宋_GB2312"/>
          <w:sz w:val="32"/>
          <w:szCs w:val="32"/>
        </w:rPr>
      </w:pPr>
    </w:p>
    <w:sectPr>
      <w:headerReference r:id="rId3" w:type="default"/>
      <w:footerReference r:id="rId5" w:type="default"/>
      <w:headerReference r:id="rId4" w:type="even"/>
      <w:footerReference r:id="rId6" w:type="even"/>
      <w:pgSz w:w="11906" w:h="16838"/>
      <w:pgMar w:top="2098" w:right="1474" w:bottom="1985" w:left="1588" w:header="851" w:footer="1588" w:gutter="0"/>
      <w:pgNumType w:fmt="numberInDash"/>
      <w:cols w:space="0" w:num="1"/>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23246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560" w:lineRule="exact"/>
      <w:ind w:left="420" w:leftChars="200"/>
      <w:rPr>
        <w:rFonts w:ascii="Times New Roman" w:hAnsi="Times New Roman" w:cs="Times New Roman"/>
        <w:sz w:val="28"/>
        <w:szCs w:val="28"/>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96"/>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0YTg3MjZlOTJiNmVhZjk2MTBmYjU2NjQzMjVlMDUifQ=="/>
  </w:docVars>
  <w:rsids>
    <w:rsidRoot w:val="00364743"/>
    <w:rsid w:val="0000643D"/>
    <w:rsid w:val="00020AE3"/>
    <w:rsid w:val="00033A73"/>
    <w:rsid w:val="00041202"/>
    <w:rsid w:val="000561F5"/>
    <w:rsid w:val="00074684"/>
    <w:rsid w:val="000A4019"/>
    <w:rsid w:val="000A5E8A"/>
    <w:rsid w:val="000C26DB"/>
    <w:rsid w:val="000D1039"/>
    <w:rsid w:val="000E6E9C"/>
    <w:rsid w:val="0010158C"/>
    <w:rsid w:val="00115E33"/>
    <w:rsid w:val="001229E6"/>
    <w:rsid w:val="0013580A"/>
    <w:rsid w:val="00136878"/>
    <w:rsid w:val="00144A7D"/>
    <w:rsid w:val="00150205"/>
    <w:rsid w:val="00154DE1"/>
    <w:rsid w:val="00194D6F"/>
    <w:rsid w:val="001B5AB8"/>
    <w:rsid w:val="001B6460"/>
    <w:rsid w:val="001D30C9"/>
    <w:rsid w:val="001E0C70"/>
    <w:rsid w:val="002143AC"/>
    <w:rsid w:val="002177FE"/>
    <w:rsid w:val="00221BDF"/>
    <w:rsid w:val="002331B0"/>
    <w:rsid w:val="00243672"/>
    <w:rsid w:val="00253EE6"/>
    <w:rsid w:val="00267F3D"/>
    <w:rsid w:val="002C54AD"/>
    <w:rsid w:val="002C7AE3"/>
    <w:rsid w:val="002D11FA"/>
    <w:rsid w:val="002D24F4"/>
    <w:rsid w:val="002D2B8E"/>
    <w:rsid w:val="002D6BCA"/>
    <w:rsid w:val="002E1D93"/>
    <w:rsid w:val="002F0117"/>
    <w:rsid w:val="002F6148"/>
    <w:rsid w:val="003041E4"/>
    <w:rsid w:val="00304A95"/>
    <w:rsid w:val="00356982"/>
    <w:rsid w:val="0036096B"/>
    <w:rsid w:val="00364743"/>
    <w:rsid w:val="0036556A"/>
    <w:rsid w:val="00371495"/>
    <w:rsid w:val="00384ED8"/>
    <w:rsid w:val="003F23B9"/>
    <w:rsid w:val="00426D92"/>
    <w:rsid w:val="0044485B"/>
    <w:rsid w:val="00464546"/>
    <w:rsid w:val="00483531"/>
    <w:rsid w:val="00483D16"/>
    <w:rsid w:val="00486E3F"/>
    <w:rsid w:val="00495AE9"/>
    <w:rsid w:val="004977B3"/>
    <w:rsid w:val="004C13CA"/>
    <w:rsid w:val="004D0610"/>
    <w:rsid w:val="004D212F"/>
    <w:rsid w:val="004E2CEE"/>
    <w:rsid w:val="004E2E11"/>
    <w:rsid w:val="004F160E"/>
    <w:rsid w:val="00520A5C"/>
    <w:rsid w:val="00542C2B"/>
    <w:rsid w:val="00556CA1"/>
    <w:rsid w:val="00573BCF"/>
    <w:rsid w:val="005748B0"/>
    <w:rsid w:val="00574F09"/>
    <w:rsid w:val="005924C9"/>
    <w:rsid w:val="005B0E5A"/>
    <w:rsid w:val="005B693D"/>
    <w:rsid w:val="005C447E"/>
    <w:rsid w:val="005E42FF"/>
    <w:rsid w:val="005F1CA7"/>
    <w:rsid w:val="005F3688"/>
    <w:rsid w:val="005F6A1D"/>
    <w:rsid w:val="00606509"/>
    <w:rsid w:val="006136B7"/>
    <w:rsid w:val="00615805"/>
    <w:rsid w:val="006457BB"/>
    <w:rsid w:val="00676DEE"/>
    <w:rsid w:val="006D1A1B"/>
    <w:rsid w:val="0071522C"/>
    <w:rsid w:val="007155F5"/>
    <w:rsid w:val="007168BE"/>
    <w:rsid w:val="00737BCE"/>
    <w:rsid w:val="00744EBB"/>
    <w:rsid w:val="00761B6F"/>
    <w:rsid w:val="007750BF"/>
    <w:rsid w:val="00781947"/>
    <w:rsid w:val="00781C14"/>
    <w:rsid w:val="00782D16"/>
    <w:rsid w:val="007A0FED"/>
    <w:rsid w:val="007B1A39"/>
    <w:rsid w:val="007B62B8"/>
    <w:rsid w:val="007B67CB"/>
    <w:rsid w:val="007D220E"/>
    <w:rsid w:val="007D6A36"/>
    <w:rsid w:val="007D758F"/>
    <w:rsid w:val="007F3366"/>
    <w:rsid w:val="007F56FB"/>
    <w:rsid w:val="0080031F"/>
    <w:rsid w:val="008258B8"/>
    <w:rsid w:val="00826EBD"/>
    <w:rsid w:val="008446F5"/>
    <w:rsid w:val="0084478D"/>
    <w:rsid w:val="00844887"/>
    <w:rsid w:val="008B1843"/>
    <w:rsid w:val="008B5AE1"/>
    <w:rsid w:val="008C6853"/>
    <w:rsid w:val="008D7AF5"/>
    <w:rsid w:val="008E59B1"/>
    <w:rsid w:val="00901D6A"/>
    <w:rsid w:val="00906E45"/>
    <w:rsid w:val="00941F9C"/>
    <w:rsid w:val="00946C2E"/>
    <w:rsid w:val="009626F0"/>
    <w:rsid w:val="00962778"/>
    <w:rsid w:val="00970ED6"/>
    <w:rsid w:val="0097550C"/>
    <w:rsid w:val="00982F4A"/>
    <w:rsid w:val="00985959"/>
    <w:rsid w:val="009B6CDA"/>
    <w:rsid w:val="009E098B"/>
    <w:rsid w:val="009E683D"/>
    <w:rsid w:val="009F336D"/>
    <w:rsid w:val="009F4ABD"/>
    <w:rsid w:val="009F5653"/>
    <w:rsid w:val="00A1226C"/>
    <w:rsid w:val="00A13C85"/>
    <w:rsid w:val="00A16A29"/>
    <w:rsid w:val="00A21720"/>
    <w:rsid w:val="00A2295A"/>
    <w:rsid w:val="00A3543D"/>
    <w:rsid w:val="00A55948"/>
    <w:rsid w:val="00A8227D"/>
    <w:rsid w:val="00AA477C"/>
    <w:rsid w:val="00AB2C84"/>
    <w:rsid w:val="00AE4759"/>
    <w:rsid w:val="00AE68BD"/>
    <w:rsid w:val="00AF2B24"/>
    <w:rsid w:val="00AF3DC2"/>
    <w:rsid w:val="00B024A8"/>
    <w:rsid w:val="00B41D8C"/>
    <w:rsid w:val="00B42C5E"/>
    <w:rsid w:val="00B45BC5"/>
    <w:rsid w:val="00B719E7"/>
    <w:rsid w:val="00B748B1"/>
    <w:rsid w:val="00B86039"/>
    <w:rsid w:val="00B86BEF"/>
    <w:rsid w:val="00BB3989"/>
    <w:rsid w:val="00BB5693"/>
    <w:rsid w:val="00BD6BE9"/>
    <w:rsid w:val="00BE3CA8"/>
    <w:rsid w:val="00C0118A"/>
    <w:rsid w:val="00C10B6A"/>
    <w:rsid w:val="00C21DCE"/>
    <w:rsid w:val="00C23CD8"/>
    <w:rsid w:val="00C27179"/>
    <w:rsid w:val="00C31705"/>
    <w:rsid w:val="00C44750"/>
    <w:rsid w:val="00C46F0C"/>
    <w:rsid w:val="00C5195E"/>
    <w:rsid w:val="00C57692"/>
    <w:rsid w:val="00C82B78"/>
    <w:rsid w:val="00CB0413"/>
    <w:rsid w:val="00CD7FDD"/>
    <w:rsid w:val="00CE68D8"/>
    <w:rsid w:val="00D0164C"/>
    <w:rsid w:val="00D01C00"/>
    <w:rsid w:val="00D11153"/>
    <w:rsid w:val="00D40FE4"/>
    <w:rsid w:val="00D43D61"/>
    <w:rsid w:val="00D51C28"/>
    <w:rsid w:val="00D827CC"/>
    <w:rsid w:val="00D977EA"/>
    <w:rsid w:val="00DC2B01"/>
    <w:rsid w:val="00DD7984"/>
    <w:rsid w:val="00DE3744"/>
    <w:rsid w:val="00DE52FE"/>
    <w:rsid w:val="00DF2103"/>
    <w:rsid w:val="00DF60A3"/>
    <w:rsid w:val="00DF7D74"/>
    <w:rsid w:val="00E05524"/>
    <w:rsid w:val="00E123DD"/>
    <w:rsid w:val="00E14B3A"/>
    <w:rsid w:val="00E23700"/>
    <w:rsid w:val="00E26782"/>
    <w:rsid w:val="00E417FB"/>
    <w:rsid w:val="00EA3193"/>
    <w:rsid w:val="00EB00F6"/>
    <w:rsid w:val="00EB718B"/>
    <w:rsid w:val="00EE1F39"/>
    <w:rsid w:val="00EE2422"/>
    <w:rsid w:val="00F132A9"/>
    <w:rsid w:val="00F135E8"/>
    <w:rsid w:val="00F6420E"/>
    <w:rsid w:val="00FA41FB"/>
    <w:rsid w:val="00FB13ED"/>
    <w:rsid w:val="00FB4350"/>
    <w:rsid w:val="00FC6C64"/>
    <w:rsid w:val="00FF5AFE"/>
    <w:rsid w:val="03AC71E4"/>
    <w:rsid w:val="03EE607E"/>
    <w:rsid w:val="06406843"/>
    <w:rsid w:val="073265D0"/>
    <w:rsid w:val="0C781B00"/>
    <w:rsid w:val="0DF30A4E"/>
    <w:rsid w:val="0F8D0499"/>
    <w:rsid w:val="10DE41AD"/>
    <w:rsid w:val="11671810"/>
    <w:rsid w:val="13CA1022"/>
    <w:rsid w:val="14B549DF"/>
    <w:rsid w:val="1947246A"/>
    <w:rsid w:val="1A1B4FAF"/>
    <w:rsid w:val="1C1962EF"/>
    <w:rsid w:val="1CCA3A19"/>
    <w:rsid w:val="1E4C65F2"/>
    <w:rsid w:val="1F1F5658"/>
    <w:rsid w:val="20CE6F2D"/>
    <w:rsid w:val="21834C2E"/>
    <w:rsid w:val="22782A71"/>
    <w:rsid w:val="251B6C14"/>
    <w:rsid w:val="261A6F1C"/>
    <w:rsid w:val="282855B7"/>
    <w:rsid w:val="286F6276"/>
    <w:rsid w:val="298642BC"/>
    <w:rsid w:val="298B0591"/>
    <w:rsid w:val="2AF51106"/>
    <w:rsid w:val="2B2261CA"/>
    <w:rsid w:val="2D7017C5"/>
    <w:rsid w:val="2DAC7CEA"/>
    <w:rsid w:val="310D1A43"/>
    <w:rsid w:val="33506A4E"/>
    <w:rsid w:val="36E152BA"/>
    <w:rsid w:val="3700141F"/>
    <w:rsid w:val="3859023D"/>
    <w:rsid w:val="39720D71"/>
    <w:rsid w:val="3D1132F9"/>
    <w:rsid w:val="3E1C0799"/>
    <w:rsid w:val="3E850DF3"/>
    <w:rsid w:val="3FE853FF"/>
    <w:rsid w:val="45786FD9"/>
    <w:rsid w:val="47A81C5E"/>
    <w:rsid w:val="4A65319D"/>
    <w:rsid w:val="4A8A7B5A"/>
    <w:rsid w:val="4BFC0876"/>
    <w:rsid w:val="4D5356A9"/>
    <w:rsid w:val="4DF8079B"/>
    <w:rsid w:val="4E2E08EA"/>
    <w:rsid w:val="4F350785"/>
    <w:rsid w:val="512D6CDF"/>
    <w:rsid w:val="53B56552"/>
    <w:rsid w:val="53CE6A3B"/>
    <w:rsid w:val="56A047FC"/>
    <w:rsid w:val="579B181E"/>
    <w:rsid w:val="57CC7D94"/>
    <w:rsid w:val="5838219B"/>
    <w:rsid w:val="58ED7803"/>
    <w:rsid w:val="5A883139"/>
    <w:rsid w:val="645E7C28"/>
    <w:rsid w:val="6789109F"/>
    <w:rsid w:val="681F1F8C"/>
    <w:rsid w:val="68600197"/>
    <w:rsid w:val="6F70286D"/>
    <w:rsid w:val="71064EC2"/>
    <w:rsid w:val="71BB09F2"/>
    <w:rsid w:val="72910586"/>
    <w:rsid w:val="73EB63F7"/>
    <w:rsid w:val="74DD4305"/>
    <w:rsid w:val="74E919CB"/>
    <w:rsid w:val="75485953"/>
    <w:rsid w:val="78A13CF9"/>
    <w:rsid w:val="7D2B6637"/>
    <w:rsid w:val="7E2278E5"/>
    <w:rsid w:val="7EB61C84"/>
    <w:rsid w:val="7F47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unhideWhenUsed/>
    <w:qFormat/>
    <w:uiPriority w:val="0"/>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日期 Char"/>
    <w:basedOn w:val="9"/>
    <w:link w:val="2"/>
    <w:semiHidden/>
    <w:qFormat/>
    <w:uiPriority w:val="99"/>
    <w:rPr>
      <w:kern w:val="2"/>
      <w:sz w:val="21"/>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页脚 Char"/>
    <w:basedOn w:val="9"/>
    <w:link w:val="4"/>
    <w:qFormat/>
    <w:uiPriority w:val="0"/>
    <w:rPr>
      <w:sz w:val="18"/>
      <w:szCs w:val="18"/>
    </w:rPr>
  </w:style>
  <w:style w:type="character" w:customStyle="1" w:styleId="16">
    <w:name w:val="页眉 Char"/>
    <w:basedOn w:val="9"/>
    <w:link w:val="5"/>
    <w:qFormat/>
    <w:uiPriority w:val="0"/>
    <w:rPr>
      <w:sz w:val="18"/>
      <w:szCs w:val="18"/>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paragraph" w:customStyle="1" w:styleId="18">
    <w:name w:val="Defaul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E5B5F-D0C1-44A4-8507-06D4522663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2665</Words>
  <Characters>2709</Characters>
  <Lines>20</Lines>
  <Paragraphs>5</Paragraphs>
  <TotalTime>0</TotalTime>
  <ScaleCrop>false</ScaleCrop>
  <LinksUpToDate>false</LinksUpToDate>
  <CharactersWithSpaces>2790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2017-11-16T07:12:00Z</dcterms:created>
  <dc:creator>def</dc:creator>
  <cp:lastModifiedBy>旅雁</cp:lastModifiedBy>
  <cp:lastPrinted>2017-10-13T06:12:00Z</cp:lastPrinted>
  <dcterms:modified xsi:type="dcterms:W3CDTF">2022-07-11T03:36:49Z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0F6934D7DD0F40FBA838DC04312E9A55</vt:lpwstr>
  </property>
</Properties>
</file>